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both"/>
        <w:rPr>
          <w:rFonts w:ascii="Segoe UI" w:hAnsi="Segoe UI" w:cs="Segoe UI" w:eastAsia="Segoe UI"/>
          <w:color w:val="000000"/>
          <w:spacing w:val="0"/>
          <w:position w:val="0"/>
          <w:sz w:val="28"/>
          <w:shd w:fill="FFFFFF" w:val="clear"/>
        </w:rPr>
      </w:pPr>
      <w:r>
        <w:object w:dxaOrig="3656" w:dyaOrig="1396">
          <v:rect xmlns:o="urn:schemas-microsoft-com:office:office" xmlns:v="urn:schemas-microsoft-com:vml" id="rectole0000000000" style="width:182.800000pt;height:69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center"/>
        <w:rPr>
          <w:rFonts w:ascii="Segoe UI" w:hAnsi="Segoe UI" w:cs="Segoe UI" w:eastAsia="Segoe UI"/>
          <w:color w:val="000000"/>
          <w:spacing w:val="0"/>
          <w:position w:val="0"/>
          <w:sz w:val="28"/>
          <w:shd w:fill="FFFFFF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8"/>
          <w:shd w:fill="FFFFFF" w:val="clear"/>
        </w:rPr>
        <w:t xml:space="preserve">Оформление недвижимости в рамках </w:t>
      </w:r>
      <w:r>
        <w:rPr>
          <w:rFonts w:ascii="Segoe UI" w:hAnsi="Segoe UI" w:cs="Segoe UI" w:eastAsia="Segoe UI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Segoe UI" w:hAnsi="Segoe UI" w:cs="Segoe UI" w:eastAsia="Segoe UI"/>
          <w:color w:val="000000"/>
          <w:spacing w:val="0"/>
          <w:position w:val="0"/>
          <w:sz w:val="28"/>
          <w:shd w:fill="FFFFFF" w:val="clear"/>
        </w:rPr>
        <w:t xml:space="preserve">дачной амнистии</w:t>
      </w:r>
      <w:r>
        <w:rPr>
          <w:rFonts w:ascii="Segoe UI" w:hAnsi="Segoe UI" w:cs="Segoe UI" w:eastAsia="Segoe UI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76"/>
        <w:ind w:right="0" w:left="0" w:firstLine="709"/>
        <w:jc w:val="both"/>
        <w:rPr>
          <w:rFonts w:ascii="Segoe UI" w:hAnsi="Segoe UI" w:cs="Segoe UI" w:eastAsia="Segoe UI"/>
          <w:i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76"/>
        <w:ind w:right="0" w:left="0" w:firstLine="709"/>
        <w:jc w:val="both"/>
        <w:rPr>
          <w:rFonts w:ascii="Segoe UI" w:hAnsi="Segoe UI" w:cs="Segoe UI" w:eastAsia="Segoe UI"/>
          <w:i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76"/>
        <w:ind w:right="0" w:left="0" w:firstLine="709"/>
        <w:jc w:val="both"/>
        <w:rPr>
          <w:rFonts w:ascii="Segoe UI" w:hAnsi="Segoe UI" w:cs="Segoe UI" w:eastAsia="Segoe UI"/>
          <w:i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76"/>
        <w:ind w:right="0" w:left="0" w:firstLine="709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FFFFFF" w:val="clear"/>
        </w:rPr>
        <w:t xml:space="preserve">Слышал об упрощенном порядке оформления прав на земельные участки и объекты недвижимости, построенные на них, в рамках "дачной амнистии". Как можно зарегистрировать недвижимость на землях садовых и дачных товариществ по этой программе? 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К сожалению, многие граждане до сих пор не имеют права собственности на земельные участки, которые считают своими, не оформили дома и иные постройки. Это означает, что они не имеют права совершать никакие сделки с такой недвижимостью, застраховать ее, завещать наследникам. 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Важно знать, что с 1 января 2017 года изменился порядок регистрации прав на недвижимость, в том числе в упрощенном порядке - мы говорим о так называемой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дачной амнистии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Дачная амнистия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была  продлена до 1 марта 2018 года, но с наступлением 2017 года одно из ее положений - упрощенное оформление строений на землях садовых и дачных товариществ  утратило силу.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С 1 января 2017 года регистрация прав на такие объекты невозможна без проведения их кадастрового учета. Основанием для кадастрового учета вышеуказанных объектов недвижимости в этих товариществах являются технические планы, подготовленные кадастровыми инженерами. 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Законодательная норма исключает появление неверных сведений об объектах. 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До 1 марта 2018 года останется упрощенный порядок оформления земельных участков. Напомним, для этого достаточно прийти в офис Кадастровой палаты или МФЦ, подать заявление и приложить любой из имеющихся правоустанавливающих документов на землю. Например, свидетельство о собственности на землю старого образца, решение о выделении участка или выписку из похозяйственной книги.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График работы, адреса офисов Кадастровой палаты и МФЦ можно уточнить по телефону Ведомственного центра телефонного обслуживания Росреестра 8-800-100-34-34 (звонок бесплатный).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